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0C3B" w14:textId="51E8B3D6" w:rsidR="00BE3547" w:rsidRDefault="00BE3547" w:rsidP="00EB111B">
      <w:pPr>
        <w:jc w:val="both"/>
        <w:outlineLvl w:val="0"/>
        <w:rPr>
          <w:szCs w:val="20"/>
        </w:rPr>
      </w:pPr>
      <w:r w:rsidRPr="001D5795">
        <w:rPr>
          <w:b/>
          <w:szCs w:val="20"/>
        </w:rPr>
        <w:t>CLINICAL HISTORY:</w:t>
      </w:r>
      <w:r w:rsidRPr="001D5795">
        <w:rPr>
          <w:szCs w:val="20"/>
        </w:rPr>
        <w:tab/>
      </w:r>
    </w:p>
    <w:p w14:paraId="5A5E0994" w14:textId="3D82D78F" w:rsidR="00E43AC3" w:rsidRDefault="00BE3547" w:rsidP="00BE3547">
      <w:pPr>
        <w:jc w:val="both"/>
        <w:rPr>
          <w:szCs w:val="20"/>
        </w:rPr>
      </w:pPr>
      <w:r>
        <w:rPr>
          <w:szCs w:val="20"/>
        </w:rPr>
        <w:t xml:space="preserve">A </w:t>
      </w:r>
      <w:r w:rsidR="009A1FB3">
        <w:rPr>
          <w:szCs w:val="20"/>
        </w:rPr>
        <w:t>70</w:t>
      </w:r>
      <w:r>
        <w:rPr>
          <w:szCs w:val="20"/>
        </w:rPr>
        <w:t xml:space="preserve">-year-old male presented to a dental clinic </w:t>
      </w:r>
      <w:r w:rsidR="00E43AC3">
        <w:rPr>
          <w:szCs w:val="20"/>
        </w:rPr>
        <w:t xml:space="preserve">for a one-year history of </w:t>
      </w:r>
      <w:r>
        <w:rPr>
          <w:szCs w:val="20"/>
        </w:rPr>
        <w:t>non-healing necrotic gingival ulcer</w:t>
      </w:r>
      <w:r w:rsidR="00E43AC3">
        <w:rPr>
          <w:szCs w:val="20"/>
        </w:rPr>
        <w:t>, 1.2 cm in greatest dimension,</w:t>
      </w:r>
      <w:r w:rsidR="00356C9B">
        <w:rPr>
          <w:szCs w:val="20"/>
        </w:rPr>
        <w:t xml:space="preserve"> after dental work for poor dentition</w:t>
      </w:r>
      <w:r>
        <w:rPr>
          <w:szCs w:val="20"/>
        </w:rPr>
        <w:t>.</w:t>
      </w:r>
      <w:r w:rsidR="00AE4034">
        <w:rPr>
          <w:szCs w:val="20"/>
        </w:rPr>
        <w:t xml:space="preserve"> </w:t>
      </w:r>
      <w:r w:rsidR="00E43AC3">
        <w:rPr>
          <w:szCs w:val="20"/>
        </w:rPr>
        <w:t>The clinical differential diagnosis included necrotic ulcerative periodontitis versus squamous cell carcinoma.</w:t>
      </w:r>
    </w:p>
    <w:p w14:paraId="592752F4" w14:textId="77777777" w:rsidR="0092780A" w:rsidRDefault="0092780A" w:rsidP="00BE3547">
      <w:pPr>
        <w:jc w:val="both"/>
        <w:rPr>
          <w:szCs w:val="20"/>
        </w:rPr>
      </w:pPr>
    </w:p>
    <w:p w14:paraId="3534E0DD" w14:textId="3FE14D4D" w:rsidR="00BE3547" w:rsidRPr="00AE4034" w:rsidRDefault="00AE4034" w:rsidP="00BE3547">
      <w:pPr>
        <w:jc w:val="both"/>
        <w:rPr>
          <w:szCs w:val="20"/>
        </w:rPr>
      </w:pPr>
      <w:r>
        <w:rPr>
          <w:szCs w:val="20"/>
        </w:rPr>
        <w:t>The patient has a 12-year history of chronic lymphocytic leukemia</w:t>
      </w:r>
      <w:r w:rsidR="00E43AC3">
        <w:rPr>
          <w:szCs w:val="20"/>
        </w:rPr>
        <w:t xml:space="preserve"> (CLL)</w:t>
      </w:r>
      <w:r>
        <w:rPr>
          <w:szCs w:val="20"/>
        </w:rPr>
        <w:t xml:space="preserve"> </w:t>
      </w:r>
      <w:r w:rsidR="00EB0794">
        <w:rPr>
          <w:szCs w:val="20"/>
        </w:rPr>
        <w:t>with</w:t>
      </w:r>
      <w:r>
        <w:rPr>
          <w:szCs w:val="20"/>
        </w:rPr>
        <w:t xml:space="preserve"> obser</w:t>
      </w:r>
      <w:r w:rsidR="00356C9B">
        <w:rPr>
          <w:szCs w:val="20"/>
        </w:rPr>
        <w:t>vation</w:t>
      </w:r>
      <w:r>
        <w:rPr>
          <w:szCs w:val="20"/>
        </w:rPr>
        <w:t xml:space="preserve"> only. A PET/CT showed scattered lymphadenopathy without significant increase in SUV</w:t>
      </w:r>
      <w:r w:rsidR="007D54D9">
        <w:rPr>
          <w:szCs w:val="20"/>
        </w:rPr>
        <w:t>,</w:t>
      </w:r>
      <w:r>
        <w:rPr>
          <w:szCs w:val="20"/>
        </w:rPr>
        <w:t xml:space="preserve"> consistent with </w:t>
      </w:r>
      <w:r w:rsidR="00E43AC3">
        <w:rPr>
          <w:szCs w:val="20"/>
        </w:rPr>
        <w:t xml:space="preserve">chronic lymphocytic leukemia/small lymphocytic lymphoma (CLL/SLL) </w:t>
      </w:r>
      <w:r>
        <w:rPr>
          <w:szCs w:val="20"/>
        </w:rPr>
        <w:t xml:space="preserve">and without concern for transformation. </w:t>
      </w:r>
      <w:r w:rsidR="00E43AC3">
        <w:rPr>
          <w:szCs w:val="20"/>
        </w:rPr>
        <w:t xml:space="preserve">A bone marrow biopsy in the past year demonstrated a hypercellular bone marrow predominantly comprised of CLL/SLL (~90%). </w:t>
      </w:r>
      <w:r>
        <w:rPr>
          <w:szCs w:val="20"/>
        </w:rPr>
        <w:t>Other notable history includes a non-melanoma skin cancer of lip (excised) and a recent decline in peripheral blood white count to 12.9 x 10</w:t>
      </w:r>
      <w:r>
        <w:rPr>
          <w:szCs w:val="20"/>
          <w:vertAlign w:val="superscript"/>
        </w:rPr>
        <w:t xml:space="preserve">3 </w:t>
      </w:r>
      <w:r>
        <w:rPr>
          <w:szCs w:val="20"/>
        </w:rPr>
        <w:t xml:space="preserve">cells/µL with an absolute neutrophil count of </w:t>
      </w:r>
      <w:r w:rsidR="00356C9B">
        <w:rPr>
          <w:szCs w:val="20"/>
        </w:rPr>
        <w:t>0.4 x 10</w:t>
      </w:r>
      <w:r w:rsidR="00356C9B">
        <w:rPr>
          <w:szCs w:val="20"/>
          <w:vertAlign w:val="superscript"/>
        </w:rPr>
        <w:t xml:space="preserve">3 </w:t>
      </w:r>
      <w:r w:rsidR="00356C9B">
        <w:rPr>
          <w:szCs w:val="20"/>
        </w:rPr>
        <w:t>cells/µL</w:t>
      </w:r>
      <w:r w:rsidR="00EB0794">
        <w:rPr>
          <w:szCs w:val="20"/>
        </w:rPr>
        <w:t>.</w:t>
      </w:r>
    </w:p>
    <w:p w14:paraId="6B70111F" w14:textId="77777777" w:rsidR="00BE3547" w:rsidRPr="001D5795" w:rsidRDefault="00BE3547" w:rsidP="00BE3547">
      <w:pPr>
        <w:jc w:val="both"/>
        <w:outlineLvl w:val="0"/>
        <w:rPr>
          <w:b/>
          <w:szCs w:val="20"/>
        </w:rPr>
      </w:pPr>
    </w:p>
    <w:p w14:paraId="454DBAF0" w14:textId="77777777" w:rsidR="00BE3547" w:rsidRPr="001D5795" w:rsidRDefault="00BE3547" w:rsidP="00BE3547">
      <w:pPr>
        <w:jc w:val="both"/>
        <w:outlineLvl w:val="0"/>
        <w:rPr>
          <w:szCs w:val="20"/>
        </w:rPr>
      </w:pPr>
      <w:r w:rsidRPr="001D5795">
        <w:rPr>
          <w:b/>
          <w:szCs w:val="20"/>
        </w:rPr>
        <w:t>MICROSCOPIC DESCRIPTION:</w:t>
      </w:r>
    </w:p>
    <w:p w14:paraId="0D37DDEF" w14:textId="5BA01D57" w:rsidR="00356C9B" w:rsidRDefault="00356C9B" w:rsidP="00356C9B">
      <w:pPr>
        <w:jc w:val="both"/>
        <w:rPr>
          <w:szCs w:val="20"/>
        </w:rPr>
      </w:pPr>
      <w:r w:rsidRPr="00356C9B">
        <w:rPr>
          <w:szCs w:val="20"/>
        </w:rPr>
        <w:t>Microscopic examination of the gingival lesion biopsy demonstrate</w:t>
      </w:r>
      <w:r w:rsidR="00B547F4">
        <w:rPr>
          <w:szCs w:val="20"/>
        </w:rPr>
        <w:t>s</w:t>
      </w:r>
      <w:r w:rsidRPr="00356C9B">
        <w:rPr>
          <w:szCs w:val="20"/>
        </w:rPr>
        <w:t xml:space="preserve"> four tissue sections having oral mucosa with</w:t>
      </w:r>
      <w:r>
        <w:rPr>
          <w:szCs w:val="20"/>
        </w:rPr>
        <w:t xml:space="preserve"> </w:t>
      </w:r>
      <w:r w:rsidRPr="00356C9B">
        <w:rPr>
          <w:szCs w:val="20"/>
        </w:rPr>
        <w:t>ulceration and a dense lymphoid infiltrate. Underlying the necrotic ulcer base is an atypical</w:t>
      </w:r>
      <w:r>
        <w:rPr>
          <w:szCs w:val="20"/>
        </w:rPr>
        <w:t xml:space="preserve"> </w:t>
      </w:r>
      <w:r w:rsidRPr="00356C9B">
        <w:rPr>
          <w:szCs w:val="20"/>
        </w:rPr>
        <w:t>lymphoid population comprised of intermediate to large cells including scattered Hodgkin-Reed-Sternberg (HRS)-like cells.</w:t>
      </w:r>
      <w:r>
        <w:rPr>
          <w:szCs w:val="20"/>
        </w:rPr>
        <w:t xml:space="preserve"> </w:t>
      </w:r>
    </w:p>
    <w:p w14:paraId="2F8149BA" w14:textId="77777777" w:rsidR="00356C9B" w:rsidRDefault="00356C9B" w:rsidP="00356C9B">
      <w:pPr>
        <w:jc w:val="both"/>
        <w:rPr>
          <w:szCs w:val="20"/>
        </w:rPr>
      </w:pPr>
    </w:p>
    <w:p w14:paraId="37E2550E" w14:textId="5EE85D4F" w:rsidR="00356C9B" w:rsidRDefault="00356C9B" w:rsidP="00356C9B">
      <w:pPr>
        <w:jc w:val="both"/>
        <w:rPr>
          <w:szCs w:val="20"/>
        </w:rPr>
      </w:pPr>
      <w:r w:rsidRPr="00356C9B">
        <w:rPr>
          <w:szCs w:val="20"/>
        </w:rPr>
        <w:t>The atypical</w:t>
      </w:r>
      <w:r w:rsidR="00D42E19">
        <w:rPr>
          <w:szCs w:val="20"/>
        </w:rPr>
        <w:t xml:space="preserve"> </w:t>
      </w:r>
      <w:r w:rsidRPr="00356C9B">
        <w:rPr>
          <w:szCs w:val="20"/>
        </w:rPr>
        <w:t>population</w:t>
      </w:r>
      <w:r>
        <w:rPr>
          <w:szCs w:val="20"/>
        </w:rPr>
        <w:t xml:space="preserve"> </w:t>
      </w:r>
      <w:r w:rsidRPr="00356C9B">
        <w:rPr>
          <w:szCs w:val="20"/>
        </w:rPr>
        <w:t>expresses CD20 and PAX5, with a subset of the large cells expressing CD30. The cells of interest also express</w:t>
      </w:r>
      <w:r>
        <w:rPr>
          <w:szCs w:val="20"/>
        </w:rPr>
        <w:t xml:space="preserve"> </w:t>
      </w:r>
      <w:r w:rsidRPr="00356C9B">
        <w:rPr>
          <w:szCs w:val="20"/>
        </w:rPr>
        <w:t>BCL6 and MUM1</w:t>
      </w:r>
      <w:r w:rsidR="00D42E19">
        <w:rPr>
          <w:szCs w:val="20"/>
        </w:rPr>
        <w:t>; CD10 is negative</w:t>
      </w:r>
      <w:r w:rsidRPr="00356C9B">
        <w:rPr>
          <w:szCs w:val="20"/>
        </w:rPr>
        <w:t>. EBER in situ hybridization marks a significant subset of the B cell population</w:t>
      </w:r>
      <w:r w:rsidR="00B547F4">
        <w:rPr>
          <w:szCs w:val="20"/>
        </w:rPr>
        <w:t>,</w:t>
      </w:r>
      <w:r w:rsidRPr="00356C9B">
        <w:rPr>
          <w:szCs w:val="20"/>
        </w:rPr>
        <w:t xml:space="preserve"> with appropriate</w:t>
      </w:r>
      <w:r>
        <w:rPr>
          <w:szCs w:val="20"/>
        </w:rPr>
        <w:t xml:space="preserve"> </w:t>
      </w:r>
      <w:r w:rsidRPr="00356C9B">
        <w:rPr>
          <w:szCs w:val="20"/>
        </w:rPr>
        <w:t>controls. The HRS-l</w:t>
      </w:r>
      <w:r>
        <w:rPr>
          <w:szCs w:val="20"/>
        </w:rPr>
        <w:t>i</w:t>
      </w:r>
      <w:r w:rsidRPr="00356C9B">
        <w:rPr>
          <w:szCs w:val="20"/>
        </w:rPr>
        <w:t>ke population</w:t>
      </w:r>
      <w:r>
        <w:rPr>
          <w:szCs w:val="20"/>
        </w:rPr>
        <w:t xml:space="preserve"> </w:t>
      </w:r>
      <w:r w:rsidRPr="00356C9B">
        <w:rPr>
          <w:szCs w:val="20"/>
        </w:rPr>
        <w:t xml:space="preserve">appears negative for CD15 and CD45. CD3 and CD43 stains a loose band of small T cells </w:t>
      </w:r>
      <w:r w:rsidR="00B547F4">
        <w:rPr>
          <w:szCs w:val="20"/>
        </w:rPr>
        <w:t>at</w:t>
      </w:r>
      <w:r w:rsidRPr="00356C9B">
        <w:rPr>
          <w:szCs w:val="20"/>
        </w:rPr>
        <w:t xml:space="preserve"> the ulcer base</w:t>
      </w:r>
      <w:r>
        <w:rPr>
          <w:szCs w:val="20"/>
        </w:rPr>
        <w:t xml:space="preserve"> </w:t>
      </w:r>
      <w:r w:rsidRPr="00356C9B">
        <w:rPr>
          <w:szCs w:val="20"/>
        </w:rPr>
        <w:t>and intermixed with the B cell population. The T cells predominantly express CD4 with fewer scattered cells</w:t>
      </w:r>
      <w:r>
        <w:rPr>
          <w:szCs w:val="20"/>
        </w:rPr>
        <w:t xml:space="preserve"> </w:t>
      </w:r>
      <w:r w:rsidRPr="00356C9B">
        <w:rPr>
          <w:szCs w:val="20"/>
        </w:rPr>
        <w:t>expressing CD8.</w:t>
      </w:r>
      <w:r>
        <w:rPr>
          <w:szCs w:val="20"/>
        </w:rPr>
        <w:t xml:space="preserve"> </w:t>
      </w:r>
    </w:p>
    <w:p w14:paraId="05DDB8C3" w14:textId="77777777" w:rsidR="00356C9B" w:rsidRPr="001D5795" w:rsidRDefault="00356C9B" w:rsidP="00356C9B">
      <w:pPr>
        <w:jc w:val="both"/>
        <w:rPr>
          <w:szCs w:val="20"/>
        </w:rPr>
      </w:pPr>
    </w:p>
    <w:p w14:paraId="466307EF" w14:textId="6747FBF2" w:rsidR="00356C9B" w:rsidRDefault="00BE3547" w:rsidP="00EB111B">
      <w:pPr>
        <w:jc w:val="both"/>
        <w:outlineLvl w:val="0"/>
        <w:rPr>
          <w:szCs w:val="20"/>
        </w:rPr>
      </w:pPr>
      <w:r w:rsidRPr="001D5795">
        <w:rPr>
          <w:b/>
          <w:szCs w:val="20"/>
        </w:rPr>
        <w:t>DISCUSSION:</w:t>
      </w:r>
    </w:p>
    <w:p w14:paraId="58848A26" w14:textId="30720B5C" w:rsidR="00356C9B" w:rsidRDefault="00FC2BEB" w:rsidP="00BE3547">
      <w:pPr>
        <w:jc w:val="both"/>
        <w:rPr>
          <w:szCs w:val="20"/>
        </w:rPr>
      </w:pPr>
      <w:r>
        <w:rPr>
          <w:szCs w:val="20"/>
        </w:rPr>
        <w:t>Epstein-Barr Virus</w:t>
      </w:r>
      <w:r w:rsidRPr="00FC2BEB">
        <w:rPr>
          <w:szCs w:val="20"/>
        </w:rPr>
        <w:t>-positive mucocutaneous ulcer</w:t>
      </w:r>
      <w:r>
        <w:rPr>
          <w:szCs w:val="20"/>
        </w:rPr>
        <w:t xml:space="preserve"> (EBVMCU) presents as a </w:t>
      </w:r>
      <w:r w:rsidRPr="00FC2BEB">
        <w:rPr>
          <w:szCs w:val="20"/>
        </w:rPr>
        <w:t>solitary</w:t>
      </w:r>
      <w:r w:rsidR="0080030A">
        <w:rPr>
          <w:szCs w:val="20"/>
        </w:rPr>
        <w:t xml:space="preserve"> (occasionally regionally multifocal)</w:t>
      </w:r>
      <w:r w:rsidRPr="00FC2BEB">
        <w:rPr>
          <w:szCs w:val="20"/>
        </w:rPr>
        <w:t xml:space="preserve">, </w:t>
      </w:r>
      <w:r w:rsidR="0080030A">
        <w:rPr>
          <w:szCs w:val="20"/>
        </w:rPr>
        <w:t>well-circumscribed</w:t>
      </w:r>
      <w:r w:rsidR="00B547F4">
        <w:rPr>
          <w:szCs w:val="20"/>
        </w:rPr>
        <w:t>,</w:t>
      </w:r>
      <w:r w:rsidR="0080030A">
        <w:rPr>
          <w:szCs w:val="20"/>
        </w:rPr>
        <w:t xml:space="preserve"> and </w:t>
      </w:r>
      <w:r w:rsidRPr="00FC2BEB">
        <w:rPr>
          <w:szCs w:val="20"/>
        </w:rPr>
        <w:t xml:space="preserve">non-mass-forming ulcer </w:t>
      </w:r>
      <w:r w:rsidR="00B547F4">
        <w:rPr>
          <w:szCs w:val="20"/>
        </w:rPr>
        <w:t>at</w:t>
      </w:r>
      <w:r w:rsidRPr="00FC2BEB">
        <w:rPr>
          <w:szCs w:val="20"/>
        </w:rPr>
        <w:t xml:space="preserve"> mucosal or cutaneous sites</w:t>
      </w:r>
      <w:r>
        <w:rPr>
          <w:szCs w:val="20"/>
        </w:rPr>
        <w:t>. Patients are</w:t>
      </w:r>
      <w:r w:rsidRPr="00FC2BEB">
        <w:rPr>
          <w:szCs w:val="20"/>
        </w:rPr>
        <w:t xml:space="preserve"> often older </w:t>
      </w:r>
      <w:r>
        <w:rPr>
          <w:szCs w:val="20"/>
        </w:rPr>
        <w:t>(</w:t>
      </w:r>
      <w:r w:rsidRPr="00FC2BEB">
        <w:rPr>
          <w:szCs w:val="20"/>
        </w:rPr>
        <w:t>&gt; 70 years</w:t>
      </w:r>
      <w:r>
        <w:rPr>
          <w:szCs w:val="20"/>
        </w:rPr>
        <w:t xml:space="preserve">), </w:t>
      </w:r>
      <w:r w:rsidR="0080030A">
        <w:rPr>
          <w:szCs w:val="20"/>
        </w:rPr>
        <w:t>have</w:t>
      </w:r>
      <w:r w:rsidRPr="00FC2BEB">
        <w:rPr>
          <w:szCs w:val="20"/>
        </w:rPr>
        <w:t xml:space="preserve"> immuno</w:t>
      </w:r>
      <w:r w:rsidR="0080030A">
        <w:rPr>
          <w:szCs w:val="20"/>
        </w:rPr>
        <w:t>deficiency/immunocompromise</w:t>
      </w:r>
      <w:r w:rsidRPr="00FC2BEB">
        <w:rPr>
          <w:szCs w:val="20"/>
        </w:rPr>
        <w:t xml:space="preserve">, </w:t>
      </w:r>
      <w:r>
        <w:rPr>
          <w:szCs w:val="20"/>
        </w:rPr>
        <w:t xml:space="preserve">autoimmune disease, HIV infection, or post-organ transplantation. A subset of patients </w:t>
      </w:r>
      <w:proofErr w:type="gramStart"/>
      <w:r>
        <w:rPr>
          <w:szCs w:val="20"/>
        </w:rPr>
        <w:t>have</w:t>
      </w:r>
      <w:proofErr w:type="gramEnd"/>
      <w:r w:rsidRPr="00FC2BEB">
        <w:rPr>
          <w:szCs w:val="20"/>
        </w:rPr>
        <w:t xml:space="preserve"> chronic lymphocytic leukemia/small lymphocytic lymphoma (CLL/SLL) or </w:t>
      </w:r>
      <w:r>
        <w:rPr>
          <w:szCs w:val="20"/>
        </w:rPr>
        <w:t xml:space="preserve">are </w:t>
      </w:r>
      <w:r w:rsidRPr="00FC2BEB">
        <w:rPr>
          <w:szCs w:val="20"/>
        </w:rPr>
        <w:t>under chronic immunosuppression (e.g., methotrexate)</w:t>
      </w:r>
      <w:r>
        <w:rPr>
          <w:szCs w:val="20"/>
        </w:rPr>
        <w:t>. After ruling out other systemic lymphoproliferative disease, therapy may include withdrawal of immunosuppressive agents or localized therapy (e.g. radiotherapy). EBVMCU may have a relapsing/remitting disease course, but without progression.</w:t>
      </w:r>
    </w:p>
    <w:p w14:paraId="1B7E5733" w14:textId="77777777" w:rsidR="0080030A" w:rsidRDefault="0080030A" w:rsidP="00BE3547">
      <w:pPr>
        <w:jc w:val="both"/>
        <w:rPr>
          <w:szCs w:val="20"/>
        </w:rPr>
      </w:pPr>
    </w:p>
    <w:p w14:paraId="1DAF7E05" w14:textId="0AEEC9D2" w:rsidR="00C1788A" w:rsidRDefault="0080030A" w:rsidP="00BE3547">
      <w:pPr>
        <w:jc w:val="both"/>
        <w:rPr>
          <w:szCs w:val="20"/>
        </w:rPr>
      </w:pPr>
      <w:r>
        <w:rPr>
          <w:szCs w:val="20"/>
        </w:rPr>
        <w:t xml:space="preserve">Histopathologic evaluation demonstrates a polymorphous lymphoid population, immunoblasts, and scattered atypical large cells with features of Hodgkin-Reed-Sternberg cells. Background cellularity includes histiocytes, plasma cells, and eosinophils. Thrombosis, angioinvasion, and necrosis </w:t>
      </w:r>
      <w:proofErr w:type="gramStart"/>
      <w:r>
        <w:rPr>
          <w:szCs w:val="20"/>
        </w:rPr>
        <w:t>are</w:t>
      </w:r>
      <w:proofErr w:type="gramEnd"/>
      <w:r>
        <w:rPr>
          <w:szCs w:val="20"/>
        </w:rPr>
        <w:t xml:space="preserve"> often present. Pseudoepitheliomatous hyperplasia may be present in overlying epithelium. The lesion is often rimmed by a dense population of small, mature T cells. The polymorphous lymphoid population is a mixture of B and T cells with a predominance of CD8-positive T cells in some cases. The HRS-like cells</w:t>
      </w:r>
      <w:r w:rsidR="00C1788A">
        <w:rPr>
          <w:szCs w:val="20"/>
        </w:rPr>
        <w:t xml:space="preserve"> have B cell character,</w:t>
      </w:r>
      <w:r>
        <w:rPr>
          <w:szCs w:val="20"/>
        </w:rPr>
        <w:t xml:space="preserve"> express</w:t>
      </w:r>
      <w:r w:rsidR="00C1788A">
        <w:rPr>
          <w:szCs w:val="20"/>
        </w:rPr>
        <w:t>ing</w:t>
      </w:r>
      <w:r>
        <w:rPr>
          <w:szCs w:val="20"/>
        </w:rPr>
        <w:t xml:space="preserve"> CD20</w:t>
      </w:r>
      <w:r w:rsidR="00C1788A">
        <w:rPr>
          <w:szCs w:val="20"/>
        </w:rPr>
        <w:t xml:space="preserve"> (variable)</w:t>
      </w:r>
      <w:r>
        <w:rPr>
          <w:szCs w:val="20"/>
        </w:rPr>
        <w:t xml:space="preserve">, </w:t>
      </w:r>
      <w:r w:rsidR="00C1788A">
        <w:rPr>
          <w:szCs w:val="20"/>
        </w:rPr>
        <w:t xml:space="preserve">PAX-5, </w:t>
      </w:r>
      <w:r>
        <w:rPr>
          <w:szCs w:val="20"/>
        </w:rPr>
        <w:t>CD30</w:t>
      </w:r>
      <w:r w:rsidR="00C1788A">
        <w:rPr>
          <w:szCs w:val="20"/>
        </w:rPr>
        <w:t xml:space="preserve"> (variable)</w:t>
      </w:r>
      <w:r>
        <w:rPr>
          <w:szCs w:val="20"/>
        </w:rPr>
        <w:t xml:space="preserve">, </w:t>
      </w:r>
      <w:r w:rsidR="00C1788A">
        <w:rPr>
          <w:szCs w:val="20"/>
        </w:rPr>
        <w:t>and EBV antigens. CD15 is rarely expressed.</w:t>
      </w:r>
    </w:p>
    <w:p w14:paraId="51D0C1E8" w14:textId="2183620A" w:rsidR="00C1788A" w:rsidRDefault="00C1788A" w:rsidP="00BE3547">
      <w:pPr>
        <w:jc w:val="both"/>
        <w:rPr>
          <w:szCs w:val="20"/>
        </w:rPr>
      </w:pPr>
      <w:r>
        <w:rPr>
          <w:szCs w:val="20"/>
        </w:rPr>
        <w:t>Excluding diagnoses with overlapping features, especially EBV-positive diffuse large B cell lymphoma</w:t>
      </w:r>
      <w:r w:rsidR="00D42E19">
        <w:rPr>
          <w:szCs w:val="20"/>
        </w:rPr>
        <w:t xml:space="preserve"> (EBV-DLBCL)</w:t>
      </w:r>
      <w:r>
        <w:rPr>
          <w:szCs w:val="20"/>
        </w:rPr>
        <w:t xml:space="preserve"> and classic Hodgkin lymphoma</w:t>
      </w:r>
      <w:r w:rsidR="00D42E19">
        <w:rPr>
          <w:szCs w:val="20"/>
        </w:rPr>
        <w:t xml:space="preserve"> (CHL)</w:t>
      </w:r>
      <w:r>
        <w:rPr>
          <w:szCs w:val="20"/>
        </w:rPr>
        <w:t xml:space="preserve">, may be challenging. </w:t>
      </w:r>
      <w:r>
        <w:rPr>
          <w:szCs w:val="20"/>
        </w:rPr>
        <w:lastRenderedPageBreak/>
        <w:t xml:space="preserve">Establishing the correct clinical context for EBVMCU including </w:t>
      </w:r>
      <w:r w:rsidRPr="00C1788A">
        <w:rPr>
          <w:szCs w:val="20"/>
        </w:rPr>
        <w:t>immune deficiency/dysregulation</w:t>
      </w:r>
      <w:r>
        <w:rPr>
          <w:szCs w:val="20"/>
        </w:rPr>
        <w:t xml:space="preserve"> and lack of a mass or evidence of systemic disease is essential</w:t>
      </w:r>
      <w:r w:rsidR="00D42E19">
        <w:rPr>
          <w:szCs w:val="20"/>
        </w:rPr>
        <w:t xml:space="preserve">, as EBVMCU treatment is typically more conservative than for </w:t>
      </w:r>
      <w:r w:rsidR="00D42E19" w:rsidRPr="00D42E19">
        <w:rPr>
          <w:szCs w:val="20"/>
        </w:rPr>
        <w:t>EBV-DLBCL</w:t>
      </w:r>
      <w:r w:rsidR="00D42E19">
        <w:rPr>
          <w:szCs w:val="20"/>
        </w:rPr>
        <w:t xml:space="preserve"> or CHL</w:t>
      </w:r>
      <w:r>
        <w:rPr>
          <w:szCs w:val="20"/>
        </w:rPr>
        <w:t>. Clonal immunoglobulin heavy chain and T cell receptor gene rearrangements are identified in more than 30% of cases and does not aid in distinguishing from lymphoma.</w:t>
      </w:r>
    </w:p>
    <w:p w14:paraId="1E2CA440" w14:textId="77777777" w:rsidR="00BE3547" w:rsidRDefault="00BE3547" w:rsidP="00BE3547">
      <w:pPr>
        <w:jc w:val="both"/>
        <w:rPr>
          <w:szCs w:val="20"/>
        </w:rPr>
      </w:pPr>
    </w:p>
    <w:p w14:paraId="49F6B932" w14:textId="77777777" w:rsidR="00EB111B" w:rsidRPr="001D5795" w:rsidRDefault="00EB111B" w:rsidP="00BE3547">
      <w:pPr>
        <w:jc w:val="both"/>
        <w:rPr>
          <w:szCs w:val="20"/>
        </w:rPr>
      </w:pPr>
    </w:p>
    <w:p w14:paraId="31A5FA13" w14:textId="77777777" w:rsidR="00BE3547" w:rsidRPr="001D5795" w:rsidRDefault="00BE3547" w:rsidP="00BE3547">
      <w:pPr>
        <w:keepNext/>
        <w:jc w:val="both"/>
        <w:outlineLvl w:val="0"/>
        <w:rPr>
          <w:b/>
          <w:caps/>
          <w:szCs w:val="20"/>
        </w:rPr>
      </w:pPr>
      <w:r w:rsidRPr="001D5795">
        <w:rPr>
          <w:b/>
          <w:caps/>
          <w:szCs w:val="20"/>
        </w:rPr>
        <w:t>References</w:t>
      </w:r>
    </w:p>
    <w:p w14:paraId="090BAE8A" w14:textId="77777777" w:rsidR="00BE3547" w:rsidRDefault="00BE3547"/>
    <w:p w14:paraId="1886F834" w14:textId="2AC7804C" w:rsidR="00EB0794" w:rsidRDefault="00EB0794" w:rsidP="00EB0794">
      <w:r>
        <w:t xml:space="preserve">Attard AA, Praveen P, Dunn PJS, James GJ. Epstein-Barr virus–positive mucocutaneous ulcer of the oral cavity: the importance of having a detailed clinical history to reach a correct diagnosis. </w:t>
      </w:r>
      <w:r w:rsidRPr="00EB0794">
        <w:t xml:space="preserve">Oral Surg Oral Med Oral </w:t>
      </w:r>
      <w:proofErr w:type="spellStart"/>
      <w:r w:rsidRPr="00EB0794">
        <w:t>Pathol</w:t>
      </w:r>
      <w:proofErr w:type="spellEnd"/>
      <w:r w:rsidRPr="00EB0794">
        <w:t xml:space="preserve"> Oral </w:t>
      </w:r>
      <w:proofErr w:type="spellStart"/>
      <w:r w:rsidRPr="00EB0794">
        <w:t>Radiol</w:t>
      </w:r>
      <w:proofErr w:type="spellEnd"/>
      <w:r w:rsidRPr="00EB0794">
        <w:t xml:space="preserve"> </w:t>
      </w:r>
      <w:proofErr w:type="spellStart"/>
      <w:r w:rsidRPr="00EB0794">
        <w:t>Endod</w:t>
      </w:r>
      <w:proofErr w:type="spellEnd"/>
      <w:r>
        <w:t xml:space="preserve">. 2012;114(2). </w:t>
      </w:r>
    </w:p>
    <w:p w14:paraId="0CEC9F96" w14:textId="77777777" w:rsidR="00EB0794" w:rsidRDefault="00EB0794" w:rsidP="00EB0794"/>
    <w:p w14:paraId="6CB2F5E9" w14:textId="6AD04573" w:rsidR="00EB0794" w:rsidRDefault="00EB0794" w:rsidP="00EB0794">
      <w:r>
        <w:t>Curry JL, Prieto VG, Jones DM, Vega F, Duvic M, Diwan AH. Transient iatrogenic immunodeficiency-related B-cell lymphoproliferative disorder of the skin in a patient with mycosis fungoides/</w:t>
      </w:r>
      <w:proofErr w:type="spellStart"/>
      <w:r>
        <w:t>Sézary</w:t>
      </w:r>
      <w:proofErr w:type="spellEnd"/>
      <w:r>
        <w:t xml:space="preserve"> syndrome. J </w:t>
      </w:r>
      <w:proofErr w:type="spellStart"/>
      <w:r>
        <w:t>Cutan</w:t>
      </w:r>
      <w:proofErr w:type="spellEnd"/>
      <w:r>
        <w:t xml:space="preserve"> </w:t>
      </w:r>
      <w:proofErr w:type="spellStart"/>
      <w:r>
        <w:t>Pathol</w:t>
      </w:r>
      <w:proofErr w:type="spellEnd"/>
      <w:r>
        <w:t>. 2011;38(3):295-297.</w:t>
      </w:r>
    </w:p>
    <w:p w14:paraId="2890E33B" w14:textId="77777777" w:rsidR="00EB0794" w:rsidRDefault="00EB0794" w:rsidP="00EB0794"/>
    <w:p w14:paraId="596A2460" w14:textId="0A3C6F67" w:rsidR="00EB0794" w:rsidRDefault="00EB0794" w:rsidP="00EB0794">
      <w:proofErr w:type="spellStart"/>
      <w:r>
        <w:t>Daroontum</w:t>
      </w:r>
      <w:proofErr w:type="spellEnd"/>
      <w:r>
        <w:t xml:space="preserve"> T, Kohno K, </w:t>
      </w:r>
      <w:proofErr w:type="spellStart"/>
      <w:r>
        <w:t>Eladl</w:t>
      </w:r>
      <w:proofErr w:type="spellEnd"/>
      <w:r>
        <w:t xml:space="preserve"> AE, et al. Comparison of Epstein-Barr virus-positive mucocutaneous ulcer associated with treated lymphoma or methotrexate in Japan. Histopathology. 2018;72(7):1115-1127.</w:t>
      </w:r>
    </w:p>
    <w:p w14:paraId="58025DD3" w14:textId="77777777" w:rsidR="00EB0794" w:rsidRDefault="00EB0794" w:rsidP="00EB0794"/>
    <w:p w14:paraId="6DD65785" w14:textId="1C82E537" w:rsidR="00EB0794" w:rsidRDefault="00EB0794" w:rsidP="00EB0794">
      <w:proofErr w:type="spellStart"/>
      <w:r>
        <w:t>Dojcinov</w:t>
      </w:r>
      <w:proofErr w:type="spellEnd"/>
      <w:r>
        <w:t xml:space="preserve"> SD, Venkataraman G, </w:t>
      </w:r>
      <w:proofErr w:type="spellStart"/>
      <w:r>
        <w:t>Raffeld</w:t>
      </w:r>
      <w:proofErr w:type="spellEnd"/>
      <w:r>
        <w:t xml:space="preserve"> M, Pittaluga S, Jaffe ES. EBV-positive mucocutaneous ulcer: a study of 26 cases associated with various sources of immunosuppression. Am J Surg </w:t>
      </w:r>
      <w:proofErr w:type="spellStart"/>
      <w:r>
        <w:t>Pathol</w:t>
      </w:r>
      <w:proofErr w:type="spellEnd"/>
      <w:r>
        <w:t>. 2010;34(3):405-417.</w:t>
      </w:r>
    </w:p>
    <w:p w14:paraId="52E86A6C" w14:textId="77777777" w:rsidR="00EB0794" w:rsidRDefault="00EB0794" w:rsidP="00EB0794"/>
    <w:p w14:paraId="39479AA9" w14:textId="7161B120" w:rsidR="00EB0794" w:rsidRDefault="00EB0794" w:rsidP="00EB0794">
      <w:r>
        <w:t xml:space="preserve">Hart M, Thakral B, Yohe S, et al. EBV-positive mucocutaneous ulcer in organ transplant recipients. Am J Surg </w:t>
      </w:r>
      <w:proofErr w:type="spellStart"/>
      <w:r>
        <w:t>Pathol</w:t>
      </w:r>
      <w:proofErr w:type="spellEnd"/>
      <w:r>
        <w:t>. 2014;38(11):1522-1529.</w:t>
      </w:r>
    </w:p>
    <w:p w14:paraId="0B050EAE" w14:textId="77777777" w:rsidR="00EB0794" w:rsidRDefault="00EB0794" w:rsidP="00EB0794"/>
    <w:p w14:paraId="5C10CF0C" w14:textId="3A518037" w:rsidR="00EB0794" w:rsidRDefault="00EB0794" w:rsidP="00EB0794">
      <w:r>
        <w:t xml:space="preserve">Ikeda T, Gion Y, Sakamoto M, et al. Clinicopathological analysis of 34 Japanese patients with EBV-positive mucocutaneous ulcer. Mod </w:t>
      </w:r>
      <w:proofErr w:type="spellStart"/>
      <w:r>
        <w:t>Pathol</w:t>
      </w:r>
      <w:proofErr w:type="spellEnd"/>
      <w:r>
        <w:t>. 2020;33(12):2437-2448.</w:t>
      </w:r>
    </w:p>
    <w:p w14:paraId="0BE3F526" w14:textId="77777777" w:rsidR="00EB0794" w:rsidRDefault="00EB0794" w:rsidP="00EB0794"/>
    <w:p w14:paraId="43407AF6" w14:textId="77777777" w:rsidR="00EB0794" w:rsidRDefault="00EB0794" w:rsidP="00EB0794">
      <w:r>
        <w:t xml:space="preserve">Natkunam Y, </w:t>
      </w:r>
      <w:proofErr w:type="spellStart"/>
      <w:r>
        <w:t>Goodlad</w:t>
      </w:r>
      <w:proofErr w:type="spellEnd"/>
      <w:r>
        <w:t xml:space="preserve"> JR, Chadburn A, et al. EBV-positive B-cell proliferations of varied malignant potential. Am J Clin </w:t>
      </w:r>
      <w:proofErr w:type="spellStart"/>
      <w:r>
        <w:t>Pathol</w:t>
      </w:r>
      <w:proofErr w:type="spellEnd"/>
      <w:r>
        <w:t>. 2017;147(2):129-152. doi:10.1093/</w:t>
      </w:r>
      <w:proofErr w:type="spellStart"/>
      <w:r>
        <w:t>ajcp</w:t>
      </w:r>
      <w:proofErr w:type="spellEnd"/>
      <w:r>
        <w:t>/aqw214</w:t>
      </w:r>
    </w:p>
    <w:p w14:paraId="1BBA0623" w14:textId="77777777" w:rsidR="00EB0794" w:rsidRDefault="00EB0794" w:rsidP="00EB0794"/>
    <w:p w14:paraId="4A8A2D3A" w14:textId="0935DF88" w:rsidR="00EB0794" w:rsidRDefault="00EB0794" w:rsidP="00EB0794">
      <w:r>
        <w:t xml:space="preserve">Prieto-Torres L, </w:t>
      </w:r>
      <w:proofErr w:type="spellStart"/>
      <w:r>
        <w:t>Eraña</w:t>
      </w:r>
      <w:proofErr w:type="spellEnd"/>
      <w:r>
        <w:t xml:space="preserve"> I, Gil-Redondo R, et al. The spectrum of EBV-positive mucocutaneous ulcer: a study of 9 cases. Am J Surg </w:t>
      </w:r>
      <w:proofErr w:type="spellStart"/>
      <w:r>
        <w:t>Pathol</w:t>
      </w:r>
      <w:proofErr w:type="spellEnd"/>
      <w:r>
        <w:t>. 2019;43(2):201-210.</w:t>
      </w:r>
    </w:p>
    <w:p w14:paraId="31F5F2F9" w14:textId="77777777" w:rsidR="00EB0794" w:rsidRDefault="00EB0794" w:rsidP="00EB0794"/>
    <w:p w14:paraId="4376F952" w14:textId="43D76B38" w:rsidR="00EB0794" w:rsidRDefault="00EB0794" w:rsidP="00EB0794">
      <w:r>
        <w:t xml:space="preserve">Sadasivam N, Johnson RJ, Owen RG. Resolution of methotrexate‐induced Epstein‐Barr virus‐associated mucocutaneous ulcer. Br J </w:t>
      </w:r>
      <w:proofErr w:type="spellStart"/>
      <w:r>
        <w:t>Haematol</w:t>
      </w:r>
      <w:proofErr w:type="spellEnd"/>
      <w:r>
        <w:t>. 2014;165(5):584.</w:t>
      </w:r>
    </w:p>
    <w:p w14:paraId="69702DDE" w14:textId="77777777" w:rsidR="00EB0794" w:rsidRDefault="00EB0794"/>
    <w:p w14:paraId="2B47CE50" w14:textId="2C558F88" w:rsidR="00932E04" w:rsidRDefault="00EB0794">
      <w:r>
        <w:t xml:space="preserve">Satou A, Banno S, Hanamura I, et al. EBV-positive mucocutaneous ulcer arising in rheumatoid arthritis patients treated with methotrexate: single center series of nine cases. </w:t>
      </w:r>
      <w:proofErr w:type="spellStart"/>
      <w:r>
        <w:t>Pathol</w:t>
      </w:r>
      <w:proofErr w:type="spellEnd"/>
      <w:r>
        <w:t xml:space="preserve"> Int. 2019;69(1):21-28.</w:t>
      </w:r>
    </w:p>
    <w:sectPr w:rsidR="00932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47"/>
    <w:rsid w:val="00356C9B"/>
    <w:rsid w:val="005D02B3"/>
    <w:rsid w:val="00642D20"/>
    <w:rsid w:val="0070789E"/>
    <w:rsid w:val="007D54D9"/>
    <w:rsid w:val="0080030A"/>
    <w:rsid w:val="0092780A"/>
    <w:rsid w:val="00932E04"/>
    <w:rsid w:val="009A1FB3"/>
    <w:rsid w:val="00A835AB"/>
    <w:rsid w:val="00AE4034"/>
    <w:rsid w:val="00B547F4"/>
    <w:rsid w:val="00BE3547"/>
    <w:rsid w:val="00C1788A"/>
    <w:rsid w:val="00D42E19"/>
    <w:rsid w:val="00E43AC3"/>
    <w:rsid w:val="00E468BB"/>
    <w:rsid w:val="00EB0794"/>
    <w:rsid w:val="00EB111B"/>
    <w:rsid w:val="00F0269C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083A"/>
  <w15:chartTrackingRefBased/>
  <w15:docId w15:val="{A43468EC-F280-4BAF-B3C0-6EA571D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5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5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5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5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5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SourceType>Journal Article</b:SourceType>
    <b:Title>Clinicopathological analysis of 34 Japanese patients with EBV-positive mucocutaneous ulcer</b:Title>
    <b:Year>2020</b:Year>
    <b:Month>12</b:Month>
    <b:StandardNumber>15300285</b:StandardNumber>
    <b:Publisher>Springer Nature</b:Publisher>
    <b:Pages>2437-2448</b:Pages>
    <b:JournalName>Modern Pathology</b:JournalName>
    <b:Volume>33</b:Volume>
    <b:Issue>12</b:Issue>
    <b:Author>
      <b:Author>
        <b:NameList>
          <b:Person>
            <b:First>Tomoka</b:First>
            <b:Last>Ikeda</b:Last>
          </b:Person>
          <b:Person>
            <b:First>Yuka</b:First>
            <b:Last>Gion</b:Last>
          </b:Person>
          <b:Person>
            <b:First>Misa</b:First>
            <b:Last>Sakamoto</b:Last>
          </b:Person>
          <b:Person>
            <b:First>Tomoyasu</b:First>
            <b:Last>Tachibana</b:Last>
          </b:Person>
          <b:Person>
            <b:First>Asami</b:First>
            <b:Last>Nishikori</b:Last>
          </b:Person>
          <b:Person>
            <b:First>Midori Filiz</b:First>
            <b:Last>Nishimura</b:Last>
          </b:Person>
          <b:Person>
            <b:First>Tadashi</b:First>
            <b:Last>Yoshino</b:Last>
          </b:Person>
          <b:Person>
            <b:First>Yasuharu</b:First>
            <b:Last>Sato</b:Last>
          </b:Person>
        </b:NameList>
      </b:Author>
      <b:Editor>
        <b:NameList>
				</b:NameList>
      </b:Editor>
    </b:Author>
    <b:Tag>clinicopathological-analysis-of-34-japanese-patients-with-ebv-positive-mucocutaneous-ulcer</b:Tag>
    <b:RefOrder>1</b:RefOrder>
  </b:Source>
  <b:Source>
    <b:SourceType>Journal Article</b:SourceType>
    <b:Title>Comparison of Epstein-Barr virus-positive mucocutaneous ulcer associated with treated lymphoma or methotrexate in Japan.</b:Title>
    <b:Year>2018</b:Year>
    <b:Month>6</b:Month>
    <b:StandardNumber>1365-2559</b:StandardNumber>
    <b:Publisher>Blackwell Publishing Ltd</b:Publisher>
    <b:Pages>1115-1127</b:Pages>
    <b:JournalName>Histopathology</b:JournalName>
    <b:Volume>72</b:Volume>
    <b:Issue>7</b:Issue>
    <b:Author>
      <b:Author>
        <b:NameList>
          <b:Person>
            <b:First>Teerada</b:First>
            <b:Last>Daroontum</b:Last>
          </b:Person>
          <b:Person>
            <b:First>Kei</b:First>
            <b:Last>Kohno</b:Last>
          </b:Person>
          <b:Person>
            <b:First>Ahmed E</b:First>
            <b:Last>Eladl</b:Last>
          </b:Person>
          <b:Person>
            <b:First>Akira</b:First>
            <b:Last>Satou</b:Last>
          </b:Person>
          <b:Person>
            <b:First>Ayako</b:First>
            <b:Last>Sakakibara</b:Last>
          </b:Person>
          <b:Person>
            <b:First>Shoichi</b:First>
            <b:Last>Matsukage</b:Last>
          </b:Person>
          <b:Person>
            <b:First>Naoki</b:First>
            <b:Last>Yakushiji</b:Last>
          </b:Person>
          <b:Person>
            <b:First>Charin</b:First>
            <b:Last>Ya-In</b:Last>
          </b:Person>
          <b:Person>
            <b:First>Shigeo</b:First>
            <b:Last>Nakamura</b:Last>
          </b:Person>
          <b:Person>
            <b:First>Naoko</b:First>
            <b:Last>Asano</b:Last>
          </b:Person>
          <b:Person>
            <b:First>Seiichi</b:First>
            <b:Last>Kato</b:Last>
          </b:Person>
        </b:NameList>
      </b:Author>
      <b:Editor>
        <b:NameList>
				</b:NameList>
      </b:Editor>
    </b:Author>
    <b:URL>http://www.ncbi.nlm.nih.gov/pubmed/29314151</b:URL>
    <b:Tag>comparison-of-epstein-barr-virus-positive-mucocutaneous-ulcer-associated-with-treated-lymphoma-or-methotrexate-in-japan.</b:Tag>
    <b:RefOrder>2</b:RefOrder>
  </b:Source>
  <b:Source>
    <b:SourceType>Journal Article</b:SourceType>
    <b:Title>EBV Positive Mucocutaneous Ulcer—A Study of 26 Cases Associated With Various Sources of Immunosuppression</b:Title>
    <b:Year>2010</b:Year>
    <b:Month>3</b:Month>
    <b:StandardNumber>0147-5185</b:StandardNumber>
    <b:Pages>405-417</b:Pages>
    <b:JournalName>American Journal of Surgical Pathology</b:JournalName>
    <b:Volume>34</b:Volume>
    <b:Issue>3</b:Issue>
    <b:Author>
      <b:Author>
        <b:NameList>
          <b:Person>
            <b:First>Stefan D.</b:First>
            <b:Last>Dojcinov</b:Last>
          </b:Person>
          <b:Person>
            <b:First>Girish</b:First>
            <b:Last>Venkataraman</b:Last>
          </b:Person>
          <b:Person>
            <b:First>Mark</b:First>
            <b:Last>Raffeld</b:Last>
          </b:Person>
          <b:Person>
            <b:First>Stefania</b:First>
            <b:Last>Pittaluga</b:Last>
          </b:Person>
          <b:Person>
            <b:First>Elaine S.</b:First>
            <b:Last>Jaffe</b:Last>
          </b:Person>
        </b:NameList>
      </b:Author>
      <b:Editor>
        <b:NameList>
				</b:NameList>
      </b:Editor>
    </b:Author>
    <b:URL>https://journals.lww.com/00000478-201003000-00013</b:URL>
    <b:Tag>ebv-positive-mucocutaneous-ulcer—a-study-of-26-cases-associated-with-various-sources-of-immunosuppression</b:Tag>
    <b:RefOrder>3</b:RefOrder>
  </b:Source>
  <b:Source>
    <b:SourceType>generic</b:SourceType>
    <b:Title>EBV-Positive B-cell proliferations of varied malignant potential</b:Title>
    <b:Year>2017</b:Year>
    <b:Month>2</b:Month>
    <b:StandardNumber>19437722</b:StandardNumber>
    <b:Publisher>Oxford University Press</b:Publisher>
    <b:Pages>129-152</b:Pages>
    <b:JournalName>American Journal of Clinical Pathology</b:JournalName>
    <b:Volume>147</b:Volume>
    <b:Issue>2</b:Issue>
    <b:Author>
      <b:Author>
        <b:NameList>
          <b:Person>
            <b:First>Yasodha</b:First>
            <b:Last>Natkunam</b:Last>
          </b:Person>
          <b:Person>
            <b:First>John R.</b:First>
            <b:Last>Goodlad</b:Last>
          </b:Person>
          <b:Person>
            <b:First>Amy</b:First>
            <b:Last>Chadburn</b:Last>
          </b:Person>
          <b:Person>
            <b:First>Daphne</b:First>
            <b:Last>De Jong</b:Last>
          </b:Person>
          <b:Person>
            <b:First>Dita</b:First>
            <b:Last>Gratzinger</b:Last>
          </b:Person>
          <b:Person>
            <b:First>John K.C.</b:First>
            <b:Last>Chan</b:Last>
          </b:Person>
          <b:Person>
            <b:First>Jonathan</b:First>
            <b:Last>Said</b:Last>
          </b:Person>
          <b:Person>
            <b:First>Elaine S.</b:First>
            <b:Last>Jaffe</b:Last>
          </b:Person>
        </b:NameList>
      </b:Author>
      <b:Editor>
        <b:NameList>
				</b:NameList>
      </b:Editor>
    </b:Author>
    <b:Tag>ebv-positive-b-cell-proliferations-of-varied-malignant-potential</b:Tag>
    <b:RefOrder>4</b:RefOrder>
  </b:Source>
  <b:Source>
    <b:SourceType>Journal Article</b:SourceType>
    <b:Title>EBV-positive mucocutaneous ulcer arising in rheumatoid arthritis patients treated with methotrexate: Single center series of nine cases</b:Title>
    <b:Year>2019</b:Year>
    <b:Month>1</b:Month>
    <b:StandardNumber>14401827</b:StandardNumber>
    <b:Publisher>Blackwell Publishing</b:Publisher>
    <b:Pages>21-28</b:Pages>
    <b:JournalName>Pathology International</b:JournalName>
    <b:Volume>69</b:Volume>
    <b:Issue>1</b:Issue>
    <b:Author>
      <b:Author>
        <b:NameList>
          <b:Person>
            <b:First>Akira</b:First>
            <b:Last>Satou</b:Last>
          </b:Person>
          <b:Person>
            <b:First>Shogo</b:First>
            <b:Last>Banno</b:Last>
          </b:Person>
          <b:Person>
            <b:First>Ichiro</b:First>
            <b:Last>Hanamura</b:Last>
          </b:Person>
          <b:Person>
            <b:First>Emiko</b:First>
            <b:Last>Takahashi</b:Last>
          </b:Person>
          <b:Person>
            <b:First>Taishi</b:First>
            <b:Last>Takahara</b:Last>
          </b:Person>
          <b:Person>
            <b:First>Hironobu</b:First>
            <b:Last>Nobata</b:Last>
          </b:Person>
          <b:Person>
            <b:First>Takayuki</b:First>
            <b:Last>Katsuno</b:Last>
          </b:Person>
          <b:Person>
            <b:First>Akiyoshi</b:First>
            <b:Last>Takami</b:Last>
          </b:Person>
          <b:Person>
            <b:First>Yasuhiko</b:First>
            <b:Last>Ito</b:Last>
          </b:Person>
          <b:Person>
            <b:First>Ryuzo</b:First>
            <b:Last>Ueda</b:Last>
          </b:Person>
          <b:Person>
            <b:First>Shigeo</b:First>
            <b:Last>Nakamura</b:Last>
          </b:Person>
          <b:Person>
            <b:First>Toyonori</b:First>
            <b:Last>Tsuzuki</b:Last>
          </b:Person>
        </b:NameList>
      </b:Author>
      <b:Editor>
        <b:NameList>
				</b:NameList>
      </b:Editor>
    </b:Author>
    <b:Tag>ebv-positive-mucocutaneous-ulcer-arising-in-rheumatoid-arthritis-patients-treated-with-methotrexate:-single-center-series-of-nine-cases</b:Tag>
    <b:RefOrder>5</b:RefOrder>
  </b:Source>
  <b:Source>
    <b:SourceType>Journal Article</b:SourceType>
    <b:Title>EBV-positive Mucocutaneous Ulcer in Organ Transplant Recipients</b:Title>
    <b:Year>2014</b:Year>
    <b:Month>11</b:Month>
    <b:StandardNumber>0147-5185</b:StandardNumber>
    <b:Pages>1522-1529</b:Pages>
    <b:JournalName>American Journal of Surgical Pathology</b:JournalName>
    <b:Volume>38</b:Volume>
    <b:Issue>11</b:Issue>
    <b:Author>
      <b:Author>
        <b:NameList>
          <b:Person>
            <b:First>Melissa</b:First>
            <b:Last>Hart</b:Last>
          </b:Person>
          <b:Person>
            <b:First>Beenu</b:First>
            <b:Last>Thakral</b:Last>
          </b:Person>
          <b:Person>
            <b:First>Sophia</b:First>
            <b:Last>Yohe</b:Last>
          </b:Person>
          <b:Person>
            <b:First>Henry H.</b:First>
            <b:Last>Balfour</b:Last>
          </b:Person>
          <b:Person>
            <b:First>Charanjeet</b:First>
            <b:Last>Singh</b:Last>
          </b:Person>
          <b:Person>
            <b:First>Michael</b:First>
            <b:Last>Spears</b:Last>
          </b:Person>
          <b:Person>
            <b:First>Robert W.</b:First>
            <b:Last>McKenna</b:Last>
          </b:Person>
        </b:NameList>
      </b:Author>
      <b:Editor>
        <b:NameList>
				</b:NameList>
      </b:Editor>
    </b:Author>
    <b:URL>https://journals.lww.com/00000478-201411000-00009</b:URL>
    <b:Tag>ebv-positive-mucocutaneous-ulcer-in-organ-transplant-recipients</b:Tag>
    <b:RefOrder>6</b:RefOrder>
  </b:Source>
  <b:Source>
    <b:SourceType>Journal Article</b:SourceType>
    <b:Title>Epstein-Barr virus–positive mucocutaneous ulcer of the oral cavity: the importance of having a detailed clinical history to reach a correct diagnosis</b:Title>
    <b:Year>2012</b:Year>
    <b:Month>8</b:Month>
    <b:StandardNumber>22124403</b:StandardNumber>
    <b:Pages>e37-e39</b:Pages>
    <b:JournalName>Oral Surgery, Oral Medicine, Oral Pathology and Oral Radiology</b:JournalName>
    <b:Volume>114</b:Volume>
    <b:Issue>2</b:Issue>
    <b:Author>
      <b:Author>
        <b:NameList>
          <b:Person>
            <b:First>Alan A.</b:First>
            <b:Last>Attard</b:Last>
          </b:Person>
          <b:Person>
            <b:First>Prav</b:First>
            <b:Last>Praveen</b:Last>
          </b:Person>
          <b:Person>
            <b:First>Paul J.S.</b:First>
            <b:Last>Dunn</b:Last>
          </b:Person>
          <b:Person>
            <b:First>Graham J.</b:First>
            <b:Last>James</b:Last>
          </b:Person>
        </b:NameList>
      </b:Author>
      <b:Editor>
        <b:NameList>
				</b:NameList>
      </b:Editor>
    </b:Author>
    <b:URL>https://linkinghub.elsevier.com/retrieve/pii/S2212440312003148</b:URL>
    <b:Tag>epstein-barr-virus–positive-mucocutaneous-ulcer-of-the-oral-cavity:-the-importance-of-having-a-detailed-clinical-history-to-reach-a-correct-diagnosis</b:Tag>
    <b:RefOrder>7</b:RefOrder>
  </b:Source>
  <b:Source>
    <b:SourceType>Journal Article</b:SourceType>
    <b:Title>Resolution of methotrexate‐induced Epstein‐Barr virus‐associated mucocutaneous ulcer</b:Title>
    <b:Year>2014</b:Year>
    <b:Month>6</b:Month>
    <b:StandardNumber>0007-1048</b:StandardNumber>
    <b:Publisher>Blackwell Publishing Ltd</b:Publisher>
    <b:Pages>584-584</b:Pages>
    <b:JournalName>British Journal of Haematology</b:JournalName>
    <b:Volume>165</b:Volume>
    <b:Issue>5</b:Issue>
    <b:Author>
      <b:Author>
        <b:NameList>
          <b:Person>
            <b:First>Nandini</b:First>
            <b:Last>Sadasivam</b:Last>
          </b:Person>
          <b:Person>
            <b:First>Roderick J.</b:First>
            <b:Last>Johnson</b:Last>
          </b:Person>
          <b:Person>
            <b:First>Roger G.</b:First>
            <b:Last>Owen</b:Last>
          </b:Person>
        </b:NameList>
      </b:Author>
      <b:Editor>
        <b:NameList>
				</b:NameList>
      </b:Editor>
    </b:Author>
    <b:URL>https://onlinelibrary.wiley.com/doi/10.1111/bjh.12743</b:URL>
    <b:Tag>resolution-of-methotrexate‐induced-epstein‐barr-virus‐associated-mucocutaneous-ulcer</b:Tag>
    <b:RefOrder>8</b:RefOrder>
  </b:Source>
  <b:Source>
    <b:SourceType>Journal Article</b:SourceType>
    <b:Title>The Spectrum of EBV-Positive Mucocutaneous Ulcer: A Study of 9 Cases.</b:Title>
    <b:Year>2019</b:Year>
    <b:Month>2</b:Month>
    <b:StandardNumber>1532-0979</b:StandardNumber>
    <b:Pages>201-210</b:Pages>
    <b:JournalName>The American journal of surgical pathology</b:JournalName>
    <b:Volume>43</b:Volume>
    <b:Issue>2</b:Issue>
    <b:Author>
      <b:Author>
        <b:NameList>
          <b:Person>
            <b:First>Lucía</b:First>
            <b:Last>Prieto-Torres</b:Last>
          </b:Person>
          <b:Person>
            <b:First>Itziar</b:First>
            <b:Last>Eraña</b:Last>
          </b:Person>
          <b:Person>
            <b:First>Rocio</b:First>
            <b:Last>Gil-Redondo</b:Last>
          </b:Person>
          <b:Person>
            <b:First>Inés</b:First>
            <b:Last>Gómez de la Riva</b:Last>
          </b:Person>
          <b:Person>
            <b:First>Rebeca</b:First>
            <b:Last>Manso</b:Last>
          </b:Person>
          <b:Person>
            <b:First>Raquel</b:First>
            <b:Last>Pajares</b:Last>
          </b:Person>
          <b:Person>
            <b:First>Raúl</b:First>
            <b:Last>Córdoba</b:Last>
          </b:Person>
          <b:Person>
            <b:First>Salma</b:First>
            <b:Last>Machan</b:Last>
          </b:Person>
          <b:Person>
            <b:First>Mariano</b:First>
            <b:Last>Ara</b:Last>
          </b:Person>
          <b:Person>
            <b:First>Luís</b:First>
            <b:Last>Requena</b:Last>
          </b:Person>
          <b:Person>
            <b:First>Miguel Á</b:First>
            <b:Last>Piris</b:Last>
          </b:Person>
          <b:Person>
            <b:First>Socorro M</b:First>
            <b:Last>Rodríguez-Pinilla</b:Last>
          </b:Person>
        </b:NameList>
      </b:Author>
      <b:Editor>
        <b:NameList>
				</b:NameList>
      </b:Editor>
    </b:Author>
    <b:URL>http://www.ncbi.nlm.nih.gov/pubmed/30418184</b:URL>
    <b:Tag>the-spectrum-of-ebv-positive-mucocutaneous-ulcer:-a-study-of-9-cases.</b:Tag>
    <b:RefOrder>9</b:RefOrder>
  </b:Source>
  <b:Source>
    <b:SourceType>Journal Article</b:SourceType>
    <b:Title>Transient iatrogenic immunodeficiency-related B-cell lymphoproliferative disorder of the skin in a patient with mycosis fungoides/Sézary syndrome</b:Title>
    <b:Year>2011</b:Year>
    <b:Month>3</b:Month>
    <b:StandardNumber>03036987</b:StandardNumber>
    <b:Pages>295-297</b:Pages>
    <b:JournalName>Journal of Cutaneous Pathology</b:JournalName>
    <b:Volume>38</b:Volume>
    <b:Issue>3</b:Issue>
    <b:Author>
      <b:Author>
        <b:NameList>
          <b:Person>
            <b:First>Jonathan L.</b:First>
            <b:Last>Curry</b:Last>
          </b:Person>
          <b:Person>
            <b:First>Victor G.</b:First>
            <b:Last>Prieto</b:Last>
          </b:Person>
          <b:Person>
            <b:First>Dan M.</b:First>
            <b:Last>Jones</b:Last>
          </b:Person>
          <b:Person>
            <b:First>Franscisco</b:First>
            <b:Last>Vega</b:Last>
          </b:Person>
          <b:Person>
            <b:First>Madeleine</b:First>
            <b:Last>Duvic</b:Last>
          </b:Person>
          <b:Person>
            <b:First>A. Hafeez</b:First>
            <b:Last>Diwan</b:Last>
          </b:Person>
        </b:NameList>
      </b:Author>
      <b:Editor>
        <b:NameList>
				</b:NameList>
      </b:Editor>
    </b:Author>
    <b:Tag>transient-iatrogenic-immunodeficiency-related-b-cell-lymphoproliferative-disorder-of-the-skin-in-a-patient-with-mycosis-fungoides/sézary-syndrome</b:Tag>
    <b:RefOrder>10</b:RefOrder>
  </b:Source>
</b:Sources>
</file>

<file path=customXml/itemProps1.xml><?xml version="1.0" encoding="utf-8"?>
<ds:datastoreItem xmlns:ds="http://schemas.openxmlformats.org/officeDocument/2006/customXml" ds:itemID="{A8F1058A-0123-46A9-BDD9-E7C36EB4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Girton, Mark</dc:creator>
  <cp:keywords/>
  <dc:description/>
  <cp:lastModifiedBy>Girton, Mark</cp:lastModifiedBy>
  <cp:revision>6</cp:revision>
  <dcterms:created xsi:type="dcterms:W3CDTF">2024-09-13T20:17:00Z</dcterms:created>
  <dcterms:modified xsi:type="dcterms:W3CDTF">2024-09-13T21:25:00Z</dcterms:modified>
</cp:coreProperties>
</file>