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B6B4" w14:textId="25609CC4" w:rsidR="00985334" w:rsidRPr="00985334" w:rsidRDefault="00985334">
      <w:pPr>
        <w:rPr>
          <w:b/>
          <w:bCs/>
        </w:rPr>
      </w:pPr>
      <w:r w:rsidRPr="00985334">
        <w:rPr>
          <w:b/>
          <w:bCs/>
        </w:rPr>
        <w:t>New Frontiers in Pathology 2024</w:t>
      </w:r>
    </w:p>
    <w:p w14:paraId="3AA7ECEB" w14:textId="1265930C" w:rsidR="00985334" w:rsidRPr="00985334" w:rsidRDefault="00985334">
      <w:pPr>
        <w:rPr>
          <w:b/>
          <w:bCs/>
        </w:rPr>
      </w:pPr>
      <w:r w:rsidRPr="00985334">
        <w:rPr>
          <w:b/>
          <w:bCs/>
        </w:rPr>
        <w:t>Presenter: Kyle Perry, MD</w:t>
      </w:r>
    </w:p>
    <w:p w14:paraId="33364A0B" w14:textId="5E3B5773" w:rsidR="00985334" w:rsidRDefault="00985334">
      <w:pPr>
        <w:rPr>
          <w:b/>
          <w:bCs/>
        </w:rPr>
      </w:pPr>
      <w:r w:rsidRPr="00985334">
        <w:rPr>
          <w:b/>
          <w:bCs/>
        </w:rPr>
        <w:t>Diagnosis:  Inflammatory well-differentiated liposarcoma</w:t>
      </w:r>
    </w:p>
    <w:p w14:paraId="005929E3" w14:textId="17168AA0" w:rsidR="00985334" w:rsidRDefault="00985334">
      <w:r>
        <w:rPr>
          <w:b/>
          <w:bCs/>
        </w:rPr>
        <w:t xml:space="preserve">Clinical history: </w:t>
      </w:r>
      <w:r w:rsidR="0071317C">
        <w:t>45-year-old male with a large mass in the retroperitoneum</w:t>
      </w:r>
      <w:r w:rsidR="00DD2A99">
        <w:t xml:space="preserve">. </w:t>
      </w:r>
      <w:r w:rsidR="0071317C">
        <w:t>The tumor was excised</w:t>
      </w:r>
      <w:r w:rsidR="00DD2A99">
        <w:t xml:space="preserve">. </w:t>
      </w:r>
    </w:p>
    <w:p w14:paraId="700FD47C" w14:textId="08DFD0C5" w:rsidR="0071317C" w:rsidRDefault="0071317C">
      <w:r w:rsidRPr="0071317C">
        <w:rPr>
          <w:b/>
          <w:bCs/>
        </w:rPr>
        <w:t>Microscopic findings:</w:t>
      </w:r>
      <w:r w:rsidRPr="0071317C">
        <w:rPr>
          <w:b/>
          <w:bCs/>
        </w:rPr>
        <w:br/>
      </w:r>
      <w:r>
        <w:t xml:space="preserve">The sections show areas with </w:t>
      </w:r>
      <w:r w:rsidR="00094B88">
        <w:t xml:space="preserve">a </w:t>
      </w:r>
      <w:r>
        <w:t>diffuse background of chronic lymphocytes and plasma cells</w:t>
      </w:r>
      <w:r w:rsidR="00DD2A99">
        <w:t xml:space="preserve">. </w:t>
      </w:r>
      <w:r>
        <w:t>There is some background fibrosis</w:t>
      </w:r>
      <w:r w:rsidR="00DD2A99">
        <w:t xml:space="preserve">. </w:t>
      </w:r>
      <w:r>
        <w:t xml:space="preserve">At higher power, there are </w:t>
      </w:r>
      <w:r w:rsidR="00DD2A99">
        <w:t>rare, atypical</w:t>
      </w:r>
      <w:r>
        <w:t xml:space="preserve"> cells with conspicuous nucleoli</w:t>
      </w:r>
      <w:r w:rsidR="00DD2A99">
        <w:t xml:space="preserve">. </w:t>
      </w:r>
    </w:p>
    <w:p w14:paraId="2C4AB2B7" w14:textId="4B556E6E" w:rsidR="0071317C" w:rsidRDefault="0071317C">
      <w:r>
        <w:t>MDM2 immunohistochemistry highlighted the atypical cells</w:t>
      </w:r>
      <w:r w:rsidR="00DD2A99">
        <w:t xml:space="preserve">. </w:t>
      </w:r>
      <w:r>
        <w:t>Further confirmation was found by positive MDM2 gene amplification by FISH</w:t>
      </w:r>
      <w:r w:rsidR="00DD2A99">
        <w:t xml:space="preserve">. </w:t>
      </w:r>
    </w:p>
    <w:p w14:paraId="05C4879B" w14:textId="0C1D1628" w:rsidR="00137699" w:rsidRDefault="0071317C">
      <w:pPr>
        <w:rPr>
          <w:b/>
          <w:bCs/>
        </w:rPr>
      </w:pPr>
      <w:r w:rsidRPr="0071317C">
        <w:rPr>
          <w:b/>
          <w:bCs/>
        </w:rPr>
        <w:t>Discussion:</w:t>
      </w:r>
    </w:p>
    <w:p w14:paraId="157D1189" w14:textId="2562857B" w:rsidR="005E2C47" w:rsidRDefault="00137699">
      <w:r>
        <w:t xml:space="preserve">Well-differentiated liposarcoma typically arises in middle aged to older adults in deep anatomic locations such as the proximal extremities, abdomen, </w:t>
      </w:r>
      <w:r w:rsidR="00DD2A99">
        <w:t>retroperitoneum,</w:t>
      </w:r>
      <w:r>
        <w:t xml:space="preserve"> or mediastinum</w:t>
      </w:r>
      <w:r w:rsidR="00DD2A99">
        <w:t xml:space="preserve">. </w:t>
      </w:r>
      <w:r>
        <w:t>Histologically, these tumors are often associated with adipocytic tissue traversed by fibrous septa which contain atypical cells with enlarged and hyperchromatic nuclei</w:t>
      </w:r>
      <w:r w:rsidR="00DD2A99">
        <w:t xml:space="preserve">. </w:t>
      </w:r>
      <w:r>
        <w:t>However, these tumors can have many morphologic variations, including sclerosing, myxoid or hibernoma-like changes</w:t>
      </w:r>
      <w:r w:rsidR="00DD2A99">
        <w:t xml:space="preserve">. </w:t>
      </w:r>
    </w:p>
    <w:p w14:paraId="59C95C3B" w14:textId="0B081A75" w:rsidR="005E2C47" w:rsidRDefault="005E2C47">
      <w:r>
        <w:t>Well</w:t>
      </w:r>
      <w:r w:rsidR="00137699">
        <w:t>-differentiated liposarcoma can</w:t>
      </w:r>
      <w:r>
        <w:t xml:space="preserve"> also</w:t>
      </w:r>
      <w:r w:rsidR="00137699">
        <w:t xml:space="preserve"> exhibit an “inflammatory” type of appearance </w:t>
      </w:r>
      <w:r>
        <w:t>that can be difficult to recognize</w:t>
      </w:r>
      <w:r w:rsidR="00DD2A99">
        <w:t xml:space="preserve">. </w:t>
      </w:r>
      <w:r>
        <w:t>Th</w:t>
      </w:r>
      <w:r w:rsidR="00094B88">
        <w:t>is variation</w:t>
      </w:r>
      <w:r>
        <w:t xml:space="preserve"> contain</w:t>
      </w:r>
      <w:r w:rsidR="00094B88">
        <w:t>s</w:t>
      </w:r>
      <w:r>
        <w:t xml:space="preserve"> sheets of lymphocytes which can cloak identifiable morphologic </w:t>
      </w:r>
      <w:r w:rsidR="00094B88">
        <w:t xml:space="preserve">the usual </w:t>
      </w:r>
      <w:r>
        <w:t>features associated with liposarcoma</w:t>
      </w:r>
      <w:r w:rsidR="00DD2A99">
        <w:t xml:space="preserve">. </w:t>
      </w:r>
      <w:r>
        <w:t>Follicles with germinal centers can be identified</w:t>
      </w:r>
      <w:r w:rsidR="00DD2A99">
        <w:t xml:space="preserve">. </w:t>
      </w:r>
      <w:r>
        <w:t>Alternatively, inflammatory well-differentiated can also exhibit sheets of acute inflammatory cells</w:t>
      </w:r>
      <w:r w:rsidR="00DD2A99">
        <w:t xml:space="preserve">. </w:t>
      </w:r>
      <w:r>
        <w:t>The atypical tumor cells in these tumors can exhibit vesicular nuclei with conspicuous nucleoli which mimic Reed-Sternberg cells seen in Hodgkin lymphoma</w:t>
      </w:r>
      <w:r w:rsidR="00DD2A99">
        <w:t xml:space="preserve">. </w:t>
      </w:r>
    </w:p>
    <w:p w14:paraId="5AFBC219" w14:textId="6CBA310D" w:rsidR="005E2C47" w:rsidRDefault="005E2C47">
      <w:r>
        <w:t>In addition to lymphoma, the differential diagnosis of inflammatory well-differentiated liposarcoma can include infection or a fibroinflammatory type of process (that can be IgG4-mediated)</w:t>
      </w:r>
      <w:r w:rsidR="00DD2A99">
        <w:t xml:space="preserve">. </w:t>
      </w:r>
      <w:r>
        <w:t xml:space="preserve">MDM2 immunohistochemistry can sometimes be helpful in highlighting the tumor cells but </w:t>
      </w:r>
      <w:r w:rsidR="00E052A3">
        <w:t>MDM2 fluorescence in situ hybridization</w:t>
      </w:r>
      <w:r w:rsidR="00792BEA">
        <w:t xml:space="preserve"> (for MDM2 gene amplification)</w:t>
      </w:r>
      <w:r w:rsidR="00E052A3">
        <w:t xml:space="preserve"> is most definitive in confirming or excluding the diagnosis</w:t>
      </w:r>
      <w:r w:rsidR="00DD2A99">
        <w:t xml:space="preserve">. </w:t>
      </w:r>
    </w:p>
    <w:p w14:paraId="320136DB" w14:textId="2BB6E33E" w:rsidR="00792BEA" w:rsidRDefault="00792BEA">
      <w:r>
        <w:t xml:space="preserve">Inflammatory well-differentiated liposarcoma is a prominent example of soft tissue </w:t>
      </w:r>
      <w:r w:rsidR="00094B88">
        <w:t>tumor with</w:t>
      </w:r>
      <w:r>
        <w:t xml:space="preserve"> prominent inflammation</w:t>
      </w:r>
      <w:r w:rsidR="00DD2A99">
        <w:t xml:space="preserve">. </w:t>
      </w:r>
      <w:r>
        <w:t xml:space="preserve">This </w:t>
      </w:r>
      <w:r w:rsidR="00094B88">
        <w:t xml:space="preserve">“inflammatory” </w:t>
      </w:r>
      <w:r>
        <w:t xml:space="preserve">morphology can be particularly treacherous to the surgical pathologist as the inflammation can belie a tumor’s actual </w:t>
      </w:r>
      <w:r>
        <w:lastRenderedPageBreak/>
        <w:t>mesenchymal differentiation</w:t>
      </w:r>
      <w:r w:rsidR="00DD2A99">
        <w:t xml:space="preserve">. </w:t>
      </w:r>
      <w:r>
        <w:t>Other soft tissue tumors which can have an inflammatory appearance include angiomatoid fibrous histiocytoma, inflammatory myofibroblastic tumor, myxoinflammatory fibroblastic sarcoma, pseudomyogenic hemangioendothelioma, among others</w:t>
      </w:r>
      <w:r w:rsidR="00DD2A99">
        <w:t>. When</w:t>
      </w:r>
      <w:r>
        <w:t xml:space="preserve"> considering an inflammatory soft tissue tumor in the diagnosis, a pathologist should also </w:t>
      </w:r>
      <w:r w:rsidR="00DD2A99">
        <w:t>assess</w:t>
      </w:r>
      <w:r>
        <w:t xml:space="preserve"> for infection, </w:t>
      </w:r>
      <w:r w:rsidR="00DD2A99">
        <w:t>lymphoma,</w:t>
      </w:r>
      <w:r>
        <w:t xml:space="preserve"> and sampling error in the differential diagnosis. </w:t>
      </w:r>
    </w:p>
    <w:p w14:paraId="307713E9" w14:textId="77777777" w:rsidR="00DD2A99" w:rsidRDefault="00DD2A99"/>
    <w:p w14:paraId="35336FF0" w14:textId="3F02300E" w:rsidR="00DD2A99" w:rsidRPr="00DD2A99" w:rsidRDefault="00DD2A99">
      <w:pPr>
        <w:rPr>
          <w:b/>
          <w:bCs/>
        </w:rPr>
      </w:pPr>
      <w:r w:rsidRPr="00DD2A99">
        <w:rPr>
          <w:b/>
          <w:bCs/>
        </w:rPr>
        <w:t>References:</w:t>
      </w:r>
    </w:p>
    <w:p w14:paraId="72842F84" w14:textId="69C79926" w:rsidR="00094B88" w:rsidRPr="00094B88" w:rsidRDefault="00094B88" w:rsidP="00094B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  <w:r w:rsidRPr="00094B88">
        <w:rPr>
          <w:rFonts w:cs="Calibri"/>
          <w:kern w:val="0"/>
          <w:sz w:val="22"/>
          <w:szCs w:val="22"/>
        </w:rPr>
        <w:t xml:space="preserve">Antonescu, C. R., et al. (2015). "Molecular characterization of inflammatory myofibroblastic tumors with frequent ALK and ROS1 gene fusions and rare novel RET rearrangement." </w:t>
      </w:r>
      <w:r w:rsidRPr="00094B88">
        <w:rPr>
          <w:rFonts w:cs="Calibri"/>
          <w:kern w:val="0"/>
          <w:sz w:val="22"/>
          <w:szCs w:val="22"/>
          <w:u w:val="single"/>
        </w:rPr>
        <w:t xml:space="preserve">Am J Surg </w:t>
      </w:r>
      <w:proofErr w:type="spellStart"/>
      <w:r w:rsidRPr="00094B88">
        <w:rPr>
          <w:rFonts w:cs="Calibri"/>
          <w:kern w:val="0"/>
          <w:sz w:val="22"/>
          <w:szCs w:val="22"/>
          <w:u w:val="single"/>
        </w:rPr>
        <w:t>Pathol</w:t>
      </w:r>
      <w:proofErr w:type="spellEnd"/>
      <w:r w:rsidRPr="00094B88">
        <w:rPr>
          <w:rFonts w:cs="Calibri"/>
          <w:kern w:val="0"/>
          <w:sz w:val="22"/>
          <w:szCs w:val="22"/>
        </w:rPr>
        <w:t xml:space="preserve"> </w:t>
      </w:r>
      <w:r w:rsidRPr="00094B88">
        <w:rPr>
          <w:rFonts w:cs="Calibri"/>
          <w:bCs/>
          <w:kern w:val="0"/>
          <w:sz w:val="22"/>
          <w:szCs w:val="22"/>
        </w:rPr>
        <w:t>39</w:t>
      </w:r>
      <w:r w:rsidRPr="00094B88">
        <w:rPr>
          <w:rFonts w:cs="Calibri"/>
          <w:kern w:val="0"/>
          <w:sz w:val="22"/>
          <w:szCs w:val="22"/>
        </w:rPr>
        <w:t>(7): 957-967.</w:t>
      </w:r>
    </w:p>
    <w:p w14:paraId="379AD960" w14:textId="77777777" w:rsidR="00094B88" w:rsidRPr="00094B88" w:rsidRDefault="00094B88" w:rsidP="00094B8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</w:p>
    <w:p w14:paraId="625B9F8E" w14:textId="3D03E460" w:rsidR="00094B88" w:rsidRPr="00094B88" w:rsidRDefault="00094B88" w:rsidP="00094B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  <w:r w:rsidRPr="00094B88">
        <w:rPr>
          <w:rFonts w:cs="Calibri"/>
          <w:kern w:val="0"/>
          <w:sz w:val="22"/>
          <w:szCs w:val="22"/>
        </w:rPr>
        <w:t xml:space="preserve">Kraus, M. D., et al. (1997). "Well-differentiated inflammatory liposarcoma: an uncommon and easily overlooked variant of a common sarcoma." </w:t>
      </w:r>
      <w:r w:rsidRPr="00094B88">
        <w:rPr>
          <w:rFonts w:cs="Calibri"/>
          <w:kern w:val="0"/>
          <w:sz w:val="22"/>
          <w:szCs w:val="22"/>
          <w:u w:val="single"/>
        </w:rPr>
        <w:t xml:space="preserve">Am J Surg </w:t>
      </w:r>
      <w:proofErr w:type="spellStart"/>
      <w:r w:rsidRPr="00094B88">
        <w:rPr>
          <w:rFonts w:cs="Calibri"/>
          <w:kern w:val="0"/>
          <w:sz w:val="22"/>
          <w:szCs w:val="22"/>
          <w:u w:val="single"/>
        </w:rPr>
        <w:t>Pathol</w:t>
      </w:r>
      <w:proofErr w:type="spellEnd"/>
      <w:r w:rsidRPr="00094B88">
        <w:rPr>
          <w:rFonts w:cs="Calibri"/>
          <w:kern w:val="0"/>
          <w:sz w:val="22"/>
          <w:szCs w:val="22"/>
        </w:rPr>
        <w:t xml:space="preserve"> </w:t>
      </w:r>
      <w:r w:rsidRPr="00094B88">
        <w:rPr>
          <w:rFonts w:cs="Calibri"/>
          <w:bCs/>
          <w:kern w:val="0"/>
          <w:sz w:val="22"/>
          <w:szCs w:val="22"/>
        </w:rPr>
        <w:t>21</w:t>
      </w:r>
      <w:r w:rsidRPr="00094B88">
        <w:rPr>
          <w:rFonts w:cs="Calibri"/>
          <w:kern w:val="0"/>
          <w:sz w:val="22"/>
          <w:szCs w:val="22"/>
        </w:rPr>
        <w:t>(5): 518-527.</w:t>
      </w:r>
    </w:p>
    <w:p w14:paraId="7004E83E" w14:textId="77777777" w:rsidR="00094B88" w:rsidRPr="00094B88" w:rsidRDefault="00094B88" w:rsidP="00094B8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</w:p>
    <w:p w14:paraId="6CAA77F4" w14:textId="1A01DA23" w:rsidR="00094B88" w:rsidRPr="00094B88" w:rsidRDefault="00094B88" w:rsidP="00094B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  <w:r w:rsidRPr="00094B88">
        <w:rPr>
          <w:rFonts w:cs="Calibri"/>
          <w:kern w:val="0"/>
          <w:sz w:val="22"/>
          <w:szCs w:val="22"/>
        </w:rPr>
        <w:t xml:space="preserve">Szczepanski, J. M., et al. (2024). "Histologic Features of Mycobacterial Spindle Cell </w:t>
      </w:r>
      <w:proofErr w:type="spellStart"/>
      <w:r w:rsidRPr="00094B88">
        <w:rPr>
          <w:rFonts w:cs="Calibri"/>
          <w:kern w:val="0"/>
          <w:sz w:val="22"/>
          <w:szCs w:val="22"/>
        </w:rPr>
        <w:t>Pseudotumors</w:t>
      </w:r>
      <w:proofErr w:type="spellEnd"/>
      <w:r w:rsidRPr="00094B88">
        <w:rPr>
          <w:rFonts w:cs="Calibri"/>
          <w:kern w:val="0"/>
          <w:sz w:val="22"/>
          <w:szCs w:val="22"/>
        </w:rPr>
        <w:t xml:space="preserve">: A Multi-institutional Clinicopathologic Analysis of 14 Cases." </w:t>
      </w:r>
      <w:r w:rsidRPr="00094B88">
        <w:rPr>
          <w:rFonts w:cs="Calibri"/>
          <w:kern w:val="0"/>
          <w:sz w:val="22"/>
          <w:szCs w:val="22"/>
          <w:u w:val="single"/>
        </w:rPr>
        <w:t xml:space="preserve">Am J Surg </w:t>
      </w:r>
      <w:proofErr w:type="spellStart"/>
      <w:r w:rsidRPr="00094B88">
        <w:rPr>
          <w:rFonts w:cs="Calibri"/>
          <w:kern w:val="0"/>
          <w:sz w:val="22"/>
          <w:szCs w:val="22"/>
          <w:u w:val="single"/>
        </w:rPr>
        <w:t>Pathol</w:t>
      </w:r>
      <w:proofErr w:type="spellEnd"/>
      <w:r w:rsidRPr="00094B88">
        <w:rPr>
          <w:rFonts w:cs="Calibri"/>
          <w:kern w:val="0"/>
          <w:sz w:val="22"/>
          <w:szCs w:val="22"/>
        </w:rPr>
        <w:t xml:space="preserve"> </w:t>
      </w:r>
      <w:r w:rsidRPr="00094B88">
        <w:rPr>
          <w:rFonts w:cs="Calibri"/>
          <w:bCs/>
          <w:kern w:val="0"/>
          <w:sz w:val="22"/>
          <w:szCs w:val="22"/>
        </w:rPr>
        <w:t>48</w:t>
      </w:r>
      <w:r w:rsidRPr="00094B88">
        <w:rPr>
          <w:rFonts w:cs="Calibri"/>
          <w:kern w:val="0"/>
          <w:sz w:val="22"/>
          <w:szCs w:val="22"/>
        </w:rPr>
        <w:t>(7): 890-900.</w:t>
      </w:r>
    </w:p>
    <w:p w14:paraId="62C8B3F0" w14:textId="77777777" w:rsidR="00094B88" w:rsidRPr="00094B88" w:rsidRDefault="00094B88" w:rsidP="00094B8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</w:p>
    <w:p w14:paraId="48ABF865" w14:textId="5482A5C8" w:rsidR="00094B88" w:rsidRPr="00094B88" w:rsidRDefault="00094B88" w:rsidP="00094B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2"/>
          <w:szCs w:val="22"/>
        </w:rPr>
      </w:pPr>
      <w:proofErr w:type="spellStart"/>
      <w:r w:rsidRPr="00094B88">
        <w:rPr>
          <w:rFonts w:cs="Calibri"/>
          <w:kern w:val="0"/>
          <w:sz w:val="22"/>
          <w:szCs w:val="22"/>
        </w:rPr>
        <w:t>Thway</w:t>
      </w:r>
      <w:proofErr w:type="spellEnd"/>
      <w:r w:rsidRPr="00094B88">
        <w:rPr>
          <w:rFonts w:cs="Calibri"/>
          <w:kern w:val="0"/>
          <w:sz w:val="22"/>
          <w:szCs w:val="22"/>
        </w:rPr>
        <w:t xml:space="preserve">, K. and C. Fisher (2015). "Angiomatoid fibrous histiocytoma: the current status of pathology and genetics." </w:t>
      </w:r>
      <w:r w:rsidRPr="00094B88">
        <w:rPr>
          <w:rFonts w:cs="Calibri"/>
          <w:kern w:val="0"/>
          <w:sz w:val="22"/>
          <w:szCs w:val="22"/>
          <w:u w:val="single"/>
        </w:rPr>
        <w:t xml:space="preserve">Arch </w:t>
      </w:r>
      <w:proofErr w:type="spellStart"/>
      <w:r w:rsidRPr="00094B88">
        <w:rPr>
          <w:rFonts w:cs="Calibri"/>
          <w:kern w:val="0"/>
          <w:sz w:val="22"/>
          <w:szCs w:val="22"/>
          <w:u w:val="single"/>
        </w:rPr>
        <w:t>Pathol</w:t>
      </w:r>
      <w:proofErr w:type="spellEnd"/>
      <w:r w:rsidRPr="00094B88">
        <w:rPr>
          <w:rFonts w:cs="Calibri"/>
          <w:kern w:val="0"/>
          <w:sz w:val="22"/>
          <w:szCs w:val="22"/>
          <w:u w:val="single"/>
        </w:rPr>
        <w:t xml:space="preserve"> Lab Med</w:t>
      </w:r>
      <w:r w:rsidRPr="00094B88">
        <w:rPr>
          <w:rFonts w:cs="Calibri"/>
          <w:kern w:val="0"/>
          <w:sz w:val="22"/>
          <w:szCs w:val="22"/>
        </w:rPr>
        <w:t xml:space="preserve"> </w:t>
      </w:r>
      <w:r w:rsidRPr="00094B88">
        <w:rPr>
          <w:rFonts w:cs="Calibri"/>
          <w:bCs/>
          <w:kern w:val="0"/>
          <w:sz w:val="22"/>
          <w:szCs w:val="22"/>
        </w:rPr>
        <w:t>139</w:t>
      </w:r>
      <w:r w:rsidRPr="00094B88">
        <w:rPr>
          <w:rFonts w:cs="Calibri"/>
          <w:kern w:val="0"/>
          <w:sz w:val="22"/>
          <w:szCs w:val="22"/>
        </w:rPr>
        <w:t>(5): 674-682.</w:t>
      </w:r>
    </w:p>
    <w:p w14:paraId="2A4A0623" w14:textId="77777777" w:rsidR="00094B88" w:rsidRDefault="00094B88" w:rsidP="00094B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0EE861CE" w14:textId="5CED5F34" w:rsidR="00DD2A99" w:rsidRDefault="00DD2A99"/>
    <w:p w14:paraId="16F71658" w14:textId="77777777" w:rsidR="00792BEA" w:rsidRDefault="00792BEA"/>
    <w:p w14:paraId="2811089D" w14:textId="77777777" w:rsidR="00792BEA" w:rsidRDefault="00792BEA"/>
    <w:p w14:paraId="2CCA9363" w14:textId="77777777" w:rsidR="00792BEA" w:rsidRDefault="00792BEA"/>
    <w:p w14:paraId="0A9AFEA0" w14:textId="77777777" w:rsidR="00E052A3" w:rsidRDefault="00E052A3"/>
    <w:p w14:paraId="52ADE5DA" w14:textId="7276FCB3" w:rsidR="0071317C" w:rsidRPr="0071317C" w:rsidRDefault="00137699">
      <w:r>
        <w:t xml:space="preserve"> </w:t>
      </w:r>
    </w:p>
    <w:sectPr w:rsidR="0071317C" w:rsidRPr="00713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68A"/>
    <w:multiLevelType w:val="hybridMultilevel"/>
    <w:tmpl w:val="77BA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34"/>
    <w:rsid w:val="00094B88"/>
    <w:rsid w:val="00137699"/>
    <w:rsid w:val="003C3960"/>
    <w:rsid w:val="00500B11"/>
    <w:rsid w:val="005E2C47"/>
    <w:rsid w:val="0071317C"/>
    <w:rsid w:val="00792BEA"/>
    <w:rsid w:val="00985334"/>
    <w:rsid w:val="00DD2A99"/>
    <w:rsid w:val="00E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80DB"/>
  <w15:chartTrackingRefBased/>
  <w15:docId w15:val="{C4AF7698-A500-4A3F-91A4-804D6497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Kyle</dc:creator>
  <cp:keywords/>
  <dc:description/>
  <cp:lastModifiedBy>Perry, Kyle</cp:lastModifiedBy>
  <cp:revision>2</cp:revision>
  <dcterms:created xsi:type="dcterms:W3CDTF">2024-10-15T16:33:00Z</dcterms:created>
  <dcterms:modified xsi:type="dcterms:W3CDTF">2024-10-15T16:33:00Z</dcterms:modified>
</cp:coreProperties>
</file>